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and Regrades</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numPr>
          <w:ilvl w:val="1"/>
          <w:numId w:val="1"/>
        </w:numPr>
        <w:ind w:left="1890" w:hanging="63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Grading: The WUSPBA grading committee has the authority to assign WUSPBA soloists to compete in the grade that is appropriate for each individual. Competitors may not elect to compete outside their grade.The WUSPBA grading committee shall annually review the Competitor Performance Level (CPL) for each registered WUSPBA soloist. The grading committee will submit a list of recommended re-grades for the Executive Committee’s approval. Soloists wishing to be re-graded must apply to the grading committee. All re- grade applications are due to the WUSPBA Executive Secretary no later than the third Sunday in September. All grading is done by the grading committee, no self-grading is permitted. Any decision may be appealed. All appeals must be submitted in writing to the Executive Secretary within three weeks of notification. The EC will then have fourteen (14) days to review the appeal, render a final decision, and notify the competitor.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numPr>
          <w:ilvl w:val="1"/>
          <w:numId w:val="2"/>
        </w:numPr>
        <w:ind w:left="1890" w:hanging="63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Grading: The WUSPBA grading committee has the authority to assign WUSPBA soloists to compete in the grade that is appropriate for each individual. Competitors may not elect to compete outside their grade. The WUSPBA grading committee shall annually review the Competitor Performance Level (CPL) for each registered WUSPBA soloist. The grading committee will submit a list of recommended re-grades for the Executive Committee’s approval. Soloists wishing to be re-graded must apply to the grading committee. </w:t>
      </w:r>
      <w:r w:rsidDel="00000000" w:rsidR="00000000" w:rsidRPr="00000000">
        <w:rPr>
          <w:rFonts w:ascii="Times New Roman" w:cs="Times New Roman" w:eastAsia="Times New Roman" w:hAnsi="Times New Roman"/>
          <w:sz w:val="24"/>
          <w:szCs w:val="24"/>
          <w:highlight w:val="yellow"/>
          <w:rtl w:val="0"/>
        </w:rPr>
        <w:t xml:space="preserve">All re- grade applications will be due to the WUSPBA Executive Secretary by the posted date on the WUSPBA website.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trike w:val="1"/>
          <w:color w:val="ff0000"/>
          <w:sz w:val="24"/>
          <w:szCs w:val="24"/>
          <w:rtl w:val="0"/>
        </w:rPr>
        <w:t xml:space="preserve">are due to the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trike w:val="1"/>
          <w:color w:val="ff0000"/>
          <w:sz w:val="24"/>
          <w:szCs w:val="24"/>
          <w:rtl w:val="0"/>
        </w:rPr>
        <w:t xml:space="preserve">WUSPBA Executive Secretary no later than the third Sunday in September.</w:t>
      </w:r>
      <w:r w:rsidDel="00000000" w:rsidR="00000000" w:rsidRPr="00000000">
        <w:rPr>
          <w:rFonts w:ascii="Times New Roman" w:cs="Times New Roman" w:eastAsia="Times New Roman" w:hAnsi="Times New Roman"/>
          <w:sz w:val="24"/>
          <w:szCs w:val="24"/>
          <w:rtl w:val="0"/>
        </w:rPr>
        <w:t xml:space="preserve"> All grading is done by the grading committee, no self-grading is permitted. Any decision may be appealed. All appeals must be submitted in writing to the Executive Secretary within three weeks of notification. The EC will then have fourteen (14) days to review the appeal, render a final decision, and notify the competitor.</w:t>
      </w:r>
    </w:p>
    <w:p w:rsidR="00000000" w:rsidDel="00000000" w:rsidP="00000000" w:rsidRDefault="00000000" w:rsidRPr="00000000" w14:paraId="0000000A">
      <w:pPr>
        <w:numPr>
          <w:ilvl w:val="1"/>
          <w:numId w:val="2"/>
        </w:numPr>
        <w:ind w:left="1890" w:hanging="630"/>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24"/>
          <w:szCs w:val="24"/>
          <w:highlight w:val="yellow"/>
          <w:rtl w:val="0"/>
        </w:rPr>
        <w:t xml:space="preserve">Midseason Regrades:</w:t>
      </w:r>
    </w:p>
    <w:p w:rsidR="00000000" w:rsidDel="00000000" w:rsidP="00000000" w:rsidRDefault="00000000" w:rsidRPr="00000000" w14:paraId="0000000B">
      <w:pPr>
        <w:ind w:left="18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 competitor may apply for a regrade if at the start of the season there is compelling evidence that the competitor has demonstrated accelerated proficiency within their current grade. This would include multiple high level CPL’s and competition placings, notations from judges indicating the need for a regrade, a letter from a judge or other certified or qualified individuals that can vouch for the competitor’s qualifications.  Mid-season Regrades will be evaluated in June with an annual June 1</w:t>
      </w:r>
      <w:r w:rsidDel="00000000" w:rsidR="00000000" w:rsidRPr="00000000">
        <w:rPr>
          <w:rFonts w:ascii="Times New Roman" w:cs="Times New Roman" w:eastAsia="Times New Roman" w:hAnsi="Times New Roman"/>
          <w:sz w:val="24"/>
          <w:szCs w:val="24"/>
          <w:highlight w:val="yellow"/>
          <w:vertAlign w:val="superscript"/>
          <w:rtl w:val="0"/>
        </w:rPr>
        <w:t xml:space="preserve">st</w:t>
      </w:r>
      <w:r w:rsidDel="00000000" w:rsidR="00000000" w:rsidRPr="00000000">
        <w:rPr>
          <w:rFonts w:ascii="Times New Roman" w:cs="Times New Roman" w:eastAsia="Times New Roman" w:hAnsi="Times New Roman"/>
          <w:sz w:val="24"/>
          <w:szCs w:val="24"/>
          <w:highlight w:val="yellow"/>
          <w:rtl w:val="0"/>
        </w:rPr>
        <w:t xml:space="preserve"> deadline to apply.  Should the applicant miss the mid-season regrade deadline, then the competitor would be able to apply during the annual AGM grading period.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ind w:left="18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18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18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18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Rationale:  The posted date for grading applications should not be set to a static date as the dates for the annual AGM change from time to time which might not allow adequate time to determine grading changes.</w:t>
      </w:r>
    </w:p>
    <w:p w:rsidR="00000000" w:rsidDel="00000000" w:rsidP="00000000" w:rsidRDefault="00000000" w:rsidRPr="00000000" w14:paraId="00000010">
      <w:pPr>
        <w:ind w:left="18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18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Mid-season date can be set to an annual June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as per suggestion of the Music Board Chair.  This will allow time for competitors to have a few contests under their belts which may demonstrate the trends and data information needed to make an informed regrading decision.  </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Play">
    <w:embedRegular w:fontKey="{00000000-0000-0000-0000-000000000000}" r:id="rId1" w:subsetted="0"/>
    <w:embedBold w:fontKey="{00000000-0000-0000-0000-000000000000}" r:id="rId2" w:subsetted="0"/>
  </w:font>
  <w:font w:name="Aptos"/>
  <w:font w:name="Libre Baskerville">
    <w:embedRegular w:fontKey="{00000000-0000-0000-0000-000000000000}" r:id="rId3" w:subsetted="0"/>
    <w:embedBold w:fontKey="{00000000-0000-0000-0000-000000000000}" r:id="rId4" w:subsetted="0"/>
    <w:embedItalic w:fontKey="{00000000-0000-0000-0000-000000000000}" r:id="rId5" w:subsetted="0"/>
  </w:font>
  <w:font w:name="Nova Mono">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tabs>
        <w:tab w:val="center" w:leader="none" w:pos="4320"/>
        <w:tab w:val="right" w:leader="none" w:pos="8640"/>
      </w:tabs>
      <w:jc w:val="center"/>
      <w:rPr>
        <w:rFonts w:ascii="Times New Roman" w:cs="Times New Roman" w:eastAsia="Times New Roman" w:hAnsi="Times New Roman"/>
        <w:b w:val="1"/>
        <w:sz w:val="24"/>
        <w:szCs w:val="24"/>
      </w:rPr>
    </w:pPr>
    <w:sdt>
      <w:sdtPr>
        <w:tag w:val="goog_rdk_0"/>
      </w:sdtPr>
      <w:sdtContent>
        <w:r w:rsidDel="00000000" w:rsidR="00000000" w:rsidRPr="00000000">
          <w:rPr>
            <w:rFonts w:ascii="Nova Mono" w:cs="Nova Mono" w:eastAsia="Nova Mono" w:hAnsi="Nova Mono"/>
            <w:b w:val="1"/>
            <w:sz w:val="24"/>
            <w:szCs w:val="24"/>
            <w:rtl w:val="0"/>
          </w:rPr>
          <w:t xml:space="preserve">WUSPBA ⬥ 531 East Edgehill Drive ⬥ Bountiful, UT 84010 ⬥ www.wuspba.org</w:t>
        </w:r>
      </w:sdtContent>
    </w:sdt>
  </w:p>
  <w:p w:rsidR="00000000" w:rsidDel="00000000" w:rsidP="00000000" w:rsidRDefault="00000000" w:rsidRPr="00000000" w14:paraId="0000001B">
    <w:pPr>
      <w:tabs>
        <w:tab w:val="center" w:leader="none" w:pos="4320"/>
        <w:tab w:val="right" w:leader="none" w:pos="8640"/>
      </w:tabs>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tabs>
              <w:tab w:val="center" w:leader="none" w:pos="4320"/>
              <w:tab w:val="right" w:leader="none" w:pos="9360"/>
            </w:tabs>
            <w:ind w:left="-360" w:right="-720" w:hanging="36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6">
          <w:pPr>
            <w:widowControl w:val="0"/>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17">
          <w:pPr>
            <w:pStyle w:val="Heading1"/>
            <w:widowControl w:val="0"/>
            <w:spacing w:after="0" w:before="0" w:lineRule="auto"/>
            <w:ind w:left="360" w:right="-120" w:firstLine="0"/>
            <w:jc w:val="center"/>
            <w:rPr>
              <w:rFonts w:ascii="Times New Roman" w:cs="Times New Roman" w:eastAsia="Times New Roman" w:hAnsi="Times New Roman"/>
              <w:b w:val="1"/>
              <w:color w:val="000000"/>
              <w:sz w:val="42"/>
              <w:szCs w:val="42"/>
            </w:rPr>
          </w:pPr>
          <w:bookmarkStart w:colFirst="0" w:colLast="0" w:name="_heading=h.mdtgqvcindie" w:id="0"/>
          <w:bookmarkEnd w:id="0"/>
          <w:r w:rsidDel="00000000" w:rsidR="00000000" w:rsidRPr="00000000">
            <w:rPr>
              <w:rFonts w:ascii="Times New Roman" w:cs="Times New Roman" w:eastAsia="Times New Roman" w:hAnsi="Times New Roman"/>
              <w:b w:val="1"/>
              <w:color w:val="000000"/>
              <w:sz w:val="42"/>
              <w:szCs w:val="42"/>
              <w:rtl w:val="0"/>
            </w:rPr>
            <w:t xml:space="preserve">Western United States Pipe Band Association 2024 AGM Contest Rules Proposals</w:t>
          </w:r>
        </w:p>
      </w:tc>
    </w:tr>
  </w:tbl>
  <w:p w:rsidR="00000000" w:rsidDel="00000000" w:rsidP="00000000" w:rsidRDefault="00000000" w:rsidRPr="00000000" w14:paraId="00000018">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1022" w:hanging="360"/>
      </w:pPr>
      <w:rPr>
        <w:rFonts w:ascii="Arial" w:cs="Arial" w:eastAsia="Arial" w:hAnsi="Arial"/>
        <w:b w:val="1"/>
        <w:sz w:val="20"/>
        <w:szCs w:val="20"/>
      </w:rPr>
    </w:lvl>
    <w:lvl w:ilvl="1">
      <w:start w:val="1"/>
      <w:numFmt w:val="decimal"/>
      <w:lvlText w:val="%1.%2."/>
      <w:lvlJc w:val="right"/>
      <w:pPr>
        <w:ind w:left="1890" w:hanging="630"/>
      </w:pPr>
      <w:rPr>
        <w:rFonts w:ascii="Arial" w:cs="Arial" w:eastAsia="Arial" w:hAnsi="Arial"/>
        <w:b w:val="0"/>
        <w:sz w:val="20"/>
        <w:szCs w:val="20"/>
      </w:rPr>
    </w:lvl>
    <w:lvl w:ilvl="2">
      <w:start w:val="1"/>
      <w:numFmt w:val="decimal"/>
      <w:lvlText w:val="%1.%2.%3."/>
      <w:lvlJc w:val="right"/>
      <w:pPr>
        <w:ind w:left="2102" w:hanging="392"/>
      </w:pPr>
      <w:rPr>
        <w:rFonts w:ascii="Arial" w:cs="Arial" w:eastAsia="Arial" w:hAnsi="Arial"/>
        <w:sz w:val="20"/>
        <w:szCs w:val="20"/>
      </w:rPr>
    </w:lvl>
    <w:lvl w:ilvl="3">
      <w:start w:val="1"/>
      <w:numFmt w:val="decimal"/>
      <w:lvlText w:val="%1.%2.%3.%4."/>
      <w:lvlJc w:val="right"/>
      <w:pPr>
        <w:ind w:left="3362" w:hanging="900"/>
      </w:pPr>
      <w:rPr>
        <w:rFonts w:ascii="Arial" w:cs="Arial" w:eastAsia="Arial" w:hAnsi="Arial"/>
        <w:sz w:val="20"/>
        <w:szCs w:val="20"/>
      </w:rPr>
    </w:lvl>
    <w:lvl w:ilvl="4">
      <w:start w:val="1"/>
      <w:numFmt w:val="decimal"/>
      <w:lvlText w:val="%1.%2.%3.%4.%5."/>
      <w:lvlJc w:val="right"/>
      <w:pPr>
        <w:ind w:left="2100" w:hanging="900"/>
      </w:pPr>
      <w:rPr/>
    </w:lvl>
    <w:lvl w:ilvl="5">
      <w:start w:val="1"/>
      <w:numFmt w:val="decimal"/>
      <w:lvlText w:val="%1.%2.%3.%4.%5.%6."/>
      <w:lvlJc w:val="right"/>
      <w:pPr>
        <w:ind w:left="2460" w:hanging="900"/>
      </w:pPr>
      <w:rPr/>
    </w:lvl>
    <w:lvl w:ilvl="6">
      <w:start w:val="1"/>
      <w:numFmt w:val="decimal"/>
      <w:lvlText w:val="%1.%2.%3.%4.%5.%6.%7."/>
      <w:lvlJc w:val="right"/>
      <w:pPr>
        <w:ind w:left="3360" w:hanging="900"/>
      </w:pPr>
      <w:rPr/>
    </w:lvl>
    <w:lvl w:ilvl="7">
      <w:start w:val="1"/>
      <w:numFmt w:val="decimal"/>
      <w:lvlText w:val="%1.%2.%3.%4.%5.%6.%7.%8."/>
      <w:lvlJc w:val="right"/>
      <w:pPr>
        <w:ind w:left="5260" w:hanging="900"/>
      </w:pPr>
      <w:rPr/>
    </w:lvl>
    <w:lvl w:ilvl="8">
      <w:start w:val="1"/>
      <w:numFmt w:val="decimal"/>
      <w:lvlText w:val="%1.%2.%3.%4.%5.%6.%7.%8.%9."/>
      <w:lvlJc w:val="right"/>
      <w:pPr>
        <w:ind w:left="7160" w:hanging="900"/>
      </w:pPr>
      <w:rPr/>
    </w:lvl>
  </w:abstractNum>
  <w:abstractNum w:abstractNumId="2">
    <w:lvl w:ilvl="0">
      <w:start w:val="1"/>
      <w:numFmt w:val="decimal"/>
      <w:lvlText w:val="%1."/>
      <w:lvlJc w:val="right"/>
      <w:pPr>
        <w:ind w:left="1022" w:hanging="360"/>
      </w:pPr>
      <w:rPr>
        <w:rFonts w:ascii="Arial" w:cs="Arial" w:eastAsia="Arial" w:hAnsi="Arial"/>
        <w:b w:val="1"/>
        <w:sz w:val="20"/>
        <w:szCs w:val="20"/>
      </w:rPr>
    </w:lvl>
    <w:lvl w:ilvl="1">
      <w:start w:val="1"/>
      <w:numFmt w:val="decimal"/>
      <w:lvlText w:val="%1.%2."/>
      <w:lvlJc w:val="right"/>
      <w:pPr>
        <w:ind w:left="1890" w:hanging="630"/>
      </w:pPr>
      <w:rPr>
        <w:rFonts w:ascii="Arial" w:cs="Arial" w:eastAsia="Arial" w:hAnsi="Arial"/>
        <w:b w:val="0"/>
        <w:sz w:val="20"/>
        <w:szCs w:val="20"/>
      </w:rPr>
    </w:lvl>
    <w:lvl w:ilvl="2">
      <w:start w:val="1"/>
      <w:numFmt w:val="decimal"/>
      <w:lvlText w:val="%1.%2.%3."/>
      <w:lvlJc w:val="right"/>
      <w:pPr>
        <w:ind w:left="2102" w:hanging="392"/>
      </w:pPr>
      <w:rPr>
        <w:rFonts w:ascii="Arial" w:cs="Arial" w:eastAsia="Arial" w:hAnsi="Arial"/>
        <w:sz w:val="20"/>
        <w:szCs w:val="20"/>
      </w:rPr>
    </w:lvl>
    <w:lvl w:ilvl="3">
      <w:start w:val="1"/>
      <w:numFmt w:val="decimal"/>
      <w:lvlText w:val="%1.%2.%3.%4."/>
      <w:lvlJc w:val="right"/>
      <w:pPr>
        <w:ind w:left="3362" w:hanging="900"/>
      </w:pPr>
      <w:rPr>
        <w:rFonts w:ascii="Arial" w:cs="Arial" w:eastAsia="Arial" w:hAnsi="Arial"/>
        <w:sz w:val="20"/>
        <w:szCs w:val="20"/>
      </w:rPr>
    </w:lvl>
    <w:lvl w:ilvl="4">
      <w:start w:val="1"/>
      <w:numFmt w:val="decimal"/>
      <w:lvlText w:val="%1.%2.%3.%4.%5."/>
      <w:lvlJc w:val="right"/>
      <w:pPr>
        <w:ind w:left="2100" w:hanging="900"/>
      </w:pPr>
      <w:rPr/>
    </w:lvl>
    <w:lvl w:ilvl="5">
      <w:start w:val="1"/>
      <w:numFmt w:val="decimal"/>
      <w:lvlText w:val="%1.%2.%3.%4.%5.%6."/>
      <w:lvlJc w:val="right"/>
      <w:pPr>
        <w:ind w:left="2460" w:hanging="900"/>
      </w:pPr>
      <w:rPr/>
    </w:lvl>
    <w:lvl w:ilvl="6">
      <w:start w:val="1"/>
      <w:numFmt w:val="decimal"/>
      <w:lvlText w:val="%1.%2.%3.%4.%5.%6.%7."/>
      <w:lvlJc w:val="right"/>
      <w:pPr>
        <w:ind w:left="3360" w:hanging="900"/>
      </w:pPr>
      <w:rPr/>
    </w:lvl>
    <w:lvl w:ilvl="7">
      <w:start w:val="1"/>
      <w:numFmt w:val="decimal"/>
      <w:lvlText w:val="%1.%2.%3.%4.%5.%6.%7.%8."/>
      <w:lvlJc w:val="right"/>
      <w:pPr>
        <w:ind w:left="5260" w:hanging="900"/>
      </w:pPr>
      <w:rPr/>
    </w:lvl>
    <w:lvl w:ilvl="8">
      <w:start w:val="1"/>
      <w:numFmt w:val="decimal"/>
      <w:lvlText w:val="%1.%2.%3.%4.%5.%6.%7.%8.%9."/>
      <w:lvlJc w:val="right"/>
      <w:pPr>
        <w:ind w:left="7160" w:hanging="9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Baskerville" w:cs="Libre Baskerville" w:eastAsia="Libre Baskerville" w:hAnsi="Libre Baskerville"/>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D7A6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D7A6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D7A68"/>
    <w:pPr>
      <w:keepNext w:val="1"/>
      <w:keepLines w:val="1"/>
      <w:spacing w:after="80" w:before="160"/>
      <w:outlineLvl w:val="2"/>
    </w:pPr>
    <w:rPr>
      <w:rFonts w:asciiTheme="minorHAnsi" w:cstheme="majorBidi" w:eastAsiaTheme="majorEastAsia" w:hAnsiTheme="minorHAnsi"/>
      <w:color w:val="0f4761" w:themeColor="accent1" w:themeShade="0000BF"/>
      <w:szCs w:val="28"/>
    </w:rPr>
  </w:style>
  <w:style w:type="paragraph" w:styleId="Heading4">
    <w:name w:val="heading 4"/>
    <w:basedOn w:val="Normal"/>
    <w:next w:val="Normal"/>
    <w:link w:val="Heading4Char"/>
    <w:uiPriority w:val="9"/>
    <w:semiHidden w:val="1"/>
    <w:unhideWhenUsed w:val="1"/>
    <w:qFormat w:val="1"/>
    <w:rsid w:val="000D7A68"/>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D7A68"/>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0D7A6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D7A68"/>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D7A6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D7A68"/>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D7A6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D7A6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D7A68"/>
    <w:rPr>
      <w:rFonts w:asciiTheme="minorHAnsi" w:cstheme="majorBidi" w:eastAsiaTheme="majorEastAsia" w:hAnsiTheme="minorHAnsi"/>
      <w:color w:val="0f4761" w:themeColor="accent1" w:themeShade="0000BF"/>
      <w:szCs w:val="28"/>
    </w:rPr>
  </w:style>
  <w:style w:type="character" w:styleId="Heading4Char" w:customStyle="1">
    <w:name w:val="Heading 4 Char"/>
    <w:basedOn w:val="DefaultParagraphFont"/>
    <w:link w:val="Heading4"/>
    <w:uiPriority w:val="9"/>
    <w:semiHidden w:val="1"/>
    <w:rsid w:val="000D7A68"/>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0D7A68"/>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0D7A68"/>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D7A68"/>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D7A68"/>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D7A68"/>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D7A68"/>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D7A6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D7A68"/>
    <w:pPr>
      <w:numPr>
        <w:ilvl w:val="1"/>
      </w:numPr>
      <w:spacing w:after="160"/>
    </w:pPr>
    <w:rPr>
      <w:rFonts w:asciiTheme="minorHAnsi" w:cstheme="majorBidi" w:eastAsiaTheme="majorEastAsia" w:hAnsiTheme="minorHAnsi"/>
      <w:color w:val="595959" w:themeColor="text1" w:themeTint="0000A6"/>
      <w:spacing w:val="15"/>
      <w:szCs w:val="28"/>
    </w:rPr>
  </w:style>
  <w:style w:type="character" w:styleId="SubtitleChar" w:customStyle="1">
    <w:name w:val="Subtitle Char"/>
    <w:basedOn w:val="DefaultParagraphFont"/>
    <w:link w:val="Subtitle"/>
    <w:uiPriority w:val="11"/>
    <w:rsid w:val="000D7A68"/>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rsid w:val="000D7A68"/>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D7A68"/>
    <w:rPr>
      <w:i w:val="1"/>
      <w:iCs w:val="1"/>
      <w:color w:val="404040" w:themeColor="text1" w:themeTint="0000BF"/>
    </w:rPr>
  </w:style>
  <w:style w:type="paragraph" w:styleId="ListParagraph">
    <w:name w:val="List Paragraph"/>
    <w:basedOn w:val="Normal"/>
    <w:uiPriority w:val="34"/>
    <w:qFormat w:val="1"/>
    <w:rsid w:val="000D7A68"/>
    <w:pPr>
      <w:ind w:left="720"/>
      <w:contextualSpacing w:val="1"/>
    </w:pPr>
  </w:style>
  <w:style w:type="character" w:styleId="IntenseEmphasis">
    <w:name w:val="Intense Emphasis"/>
    <w:basedOn w:val="DefaultParagraphFont"/>
    <w:uiPriority w:val="21"/>
    <w:qFormat w:val="1"/>
    <w:rsid w:val="000D7A68"/>
    <w:rPr>
      <w:i w:val="1"/>
      <w:iCs w:val="1"/>
      <w:color w:val="0f4761" w:themeColor="accent1" w:themeShade="0000BF"/>
    </w:rPr>
  </w:style>
  <w:style w:type="paragraph" w:styleId="IntenseQuote">
    <w:name w:val="Intense Quote"/>
    <w:basedOn w:val="Normal"/>
    <w:next w:val="Normal"/>
    <w:link w:val="IntenseQuoteChar"/>
    <w:uiPriority w:val="30"/>
    <w:qFormat w:val="1"/>
    <w:rsid w:val="000D7A6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D7A68"/>
    <w:rPr>
      <w:i w:val="1"/>
      <w:iCs w:val="1"/>
      <w:color w:val="0f4761" w:themeColor="accent1" w:themeShade="0000BF"/>
    </w:rPr>
  </w:style>
  <w:style w:type="character" w:styleId="IntenseReference">
    <w:name w:val="Intense Reference"/>
    <w:basedOn w:val="DefaultParagraphFont"/>
    <w:uiPriority w:val="32"/>
    <w:qFormat w:val="1"/>
    <w:rsid w:val="000D7A68"/>
    <w:rPr>
      <w:b w:val="1"/>
      <w:bCs w:val="1"/>
      <w:smallCaps w:val="1"/>
      <w:color w:val="0f4761" w:themeColor="accent1" w:themeShade="0000BF"/>
      <w:spacing w:val="5"/>
    </w:rPr>
  </w:style>
  <w:style w:type="paragraph" w:styleId="Subtitle">
    <w:name w:val="Subtitle"/>
    <w:basedOn w:val="Normal"/>
    <w:next w:val="Normal"/>
    <w:pPr>
      <w:spacing w:after="160" w:lineRule="auto"/>
    </w:pPr>
    <w:rPr>
      <w:rFonts w:ascii="Aptos" w:cs="Aptos" w:eastAsia="Aptos" w:hAnsi="Aptos"/>
      <w:color w:val="595959"/>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LibreBaskerville-regular.ttf"/><Relationship Id="rId4" Type="http://schemas.openxmlformats.org/officeDocument/2006/relationships/font" Target="fonts/LibreBaskerville-bold.ttf"/><Relationship Id="rId5" Type="http://schemas.openxmlformats.org/officeDocument/2006/relationships/font" Target="fonts/LibreBaskerville-italic.ttf"/><Relationship Id="rId6"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hOgIFL4a2M0wqagL9YJUwEIeQ==">CgMxLjAaJwoBMBIiCiAIB0IcCg9UaW1lcyBOZXcgUm9tYW4SCU5vdmEgTW9ubzIOaC5tZHRncXZjaW5kaWU4AHIhMTYwdUd5NFdEb1c4LTB1UFVnczhRN2cwRFlOZmpBUFpE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2024-09-11T02:36:00Z</dcterms:created>
  <dc:creator>Jeffrey Mann</dc:creator>
</cp:coreProperties>
</file>