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Clarification re: Double Rostering and the Draw – Submitted by Office of Strategic Planning for Games Organizers (OSPGO)</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Existing Text (Contest Rules)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6">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 Pipe Band Contest Rules</w:t>
      </w:r>
    </w:p>
    <w:p w:rsidR="00000000" w:rsidDel="00000000" w:rsidP="00000000" w:rsidRDefault="00000000" w:rsidRPr="00000000" w14:paraId="00000007">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tab/>
        <w:t xml:space="preserve">Band Membership and Registration</w:t>
      </w:r>
    </w:p>
    <w:p w:rsidR="00000000" w:rsidDel="00000000" w:rsidP="00000000" w:rsidRDefault="00000000" w:rsidRPr="00000000" w14:paraId="0000000A">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p>
    <w:p w:rsidR="00000000" w:rsidDel="00000000" w:rsidP="00000000" w:rsidRDefault="00000000" w:rsidRPr="00000000" w14:paraId="0000000B">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7.2.4.</w:t>
        <w:tab/>
      </w:r>
      <w:r w:rsidDel="00000000" w:rsidR="00000000" w:rsidRPr="00000000">
        <w:rPr>
          <w:rFonts w:ascii="Times New Roman" w:cs="Times New Roman" w:eastAsia="Times New Roman" w:hAnsi="Times New Roman"/>
          <w:u w:val="single"/>
          <w:rtl w:val="0"/>
        </w:rPr>
        <w:t xml:space="preserve">Registered Instructor Policy:</w:t>
      </w:r>
      <w:r w:rsidDel="00000000" w:rsidR="00000000" w:rsidRPr="00000000">
        <w:rPr>
          <w:rFonts w:ascii="Times New Roman" w:cs="Times New Roman" w:eastAsia="Times New Roman" w:hAnsi="Times New Roman"/>
          <w:rtl w:val="0"/>
        </w:rPr>
        <w:t xml:space="preserve"> Grade 2, Grade 3, Grade 4, Grade 5, and Juvenile bands may register, for the competition season, at most one (1) piping instructor and one (1) drumming instructor who are also registered with another, higher-graded band. An instructor is defined as an individual from a higher-graded band who provides piping/drumming instruction on an ongoing basis to the lower-graded band in which the instructor is registered, i.e., an instructor is a registered member who regularly attends that band’s practices and provides instruction at those practices. The instructor(s) shall not be permitted to make up the minimum number of pipers or drummers required for competition. Instructors for Grade 2 bands may not act as the Pipe Major or lead drummer. A higher-grade band may have more than one piper or drummer who serves as instructors of Grade 2, 3, 4, 5, and Juvenile bands, provided, however, that no individual may serve as a playing member for multiple bands in the same grade. Instructor(s) must be clearly identified on each band’s roster. </w:t>
      </w:r>
    </w:p>
    <w:p w:rsidR="00000000" w:rsidDel="00000000" w:rsidP="00000000" w:rsidRDefault="00000000" w:rsidRPr="00000000" w14:paraId="0000000D">
      <w:pPr>
        <w:ind w:left="1620" w:hanging="54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E">
      <w:p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7.2.5.</w:t>
        <w:tab/>
      </w:r>
      <w:r w:rsidDel="00000000" w:rsidR="00000000" w:rsidRPr="00000000">
        <w:rPr>
          <w:rFonts w:ascii="Times New Roman" w:cs="Times New Roman" w:eastAsia="Times New Roman" w:hAnsi="Times New Roman"/>
          <w:u w:val="single"/>
          <w:rtl w:val="0"/>
        </w:rPr>
        <w:t xml:space="preserve">Dual Musicians:</w:t>
      </w:r>
      <w:r w:rsidDel="00000000" w:rsidR="00000000" w:rsidRPr="00000000">
        <w:rPr>
          <w:rFonts w:ascii="Times New Roman" w:cs="Times New Roman" w:eastAsia="Times New Roman" w:hAnsi="Times New Roman"/>
          <w:rtl w:val="0"/>
        </w:rPr>
        <w:t xml:space="preserve"> A musician may play one instrument (pipes, snare drum, tenor drum, bass drum) with one band, and a different instrument with another band of a different grade, provided the musician is appropriately registered with each band for the respective instrument. This must be verified with the band registrar at the time of registration. </w:t>
      </w:r>
    </w:p>
    <w:p w:rsidR="00000000" w:rsidDel="00000000" w:rsidP="00000000" w:rsidRDefault="00000000" w:rsidRPr="00000000" w14:paraId="0000000F">
      <w:pPr>
        <w:ind w:left="1620" w:hanging="54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0">
      <w:p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7.2.4.</w:t>
        <w:tab/>
      </w:r>
      <w:r w:rsidDel="00000000" w:rsidR="00000000" w:rsidRPr="00000000">
        <w:rPr>
          <w:rFonts w:ascii="Times New Roman" w:cs="Times New Roman" w:eastAsia="Times New Roman" w:hAnsi="Times New Roman"/>
          <w:u w:val="single"/>
          <w:rtl w:val="0"/>
        </w:rPr>
        <w:t xml:space="preserve">Juvenile Bands:</w:t>
      </w:r>
      <w:r w:rsidDel="00000000" w:rsidR="00000000" w:rsidRPr="00000000">
        <w:rPr>
          <w:rFonts w:ascii="Times New Roman" w:cs="Times New Roman" w:eastAsia="Times New Roman" w:hAnsi="Times New Roman"/>
          <w:rtl w:val="0"/>
        </w:rPr>
        <w:t xml:space="preserve"> Members of Juvenile bands who are 18 years of age and younger may be registered with and compete with a higher graded band as well as their own Juvenile band. </w:t>
      </w:r>
    </w:p>
    <w:p w:rsidR="00000000" w:rsidDel="00000000" w:rsidP="00000000" w:rsidRDefault="00000000" w:rsidRPr="00000000" w14:paraId="00000011">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p>
    <w:p w:rsidR="00000000" w:rsidDel="00000000" w:rsidP="00000000" w:rsidRDefault="00000000" w:rsidRPr="00000000" w14:paraId="00000012">
      <w:pPr>
        <w:ind w:left="108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Proposed Text (Contest Rules)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 Pipe Band Contest Rules</w:t>
      </w:r>
    </w:p>
    <w:p w:rsidR="00000000" w:rsidDel="00000000" w:rsidP="00000000" w:rsidRDefault="00000000" w:rsidRPr="00000000" w14:paraId="00000017">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ind w:left="5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tab/>
        <w:t xml:space="preserve">Band Membership and Registration</w:t>
      </w:r>
    </w:p>
    <w:p w:rsidR="00000000" w:rsidDel="00000000" w:rsidP="00000000" w:rsidRDefault="00000000" w:rsidRPr="00000000" w14:paraId="0000001A">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t>
      </w:r>
    </w:p>
    <w:p w:rsidR="00000000" w:rsidDel="00000000" w:rsidP="00000000" w:rsidRDefault="00000000" w:rsidRPr="00000000" w14:paraId="0000001B">
      <w:pPr>
        <w:ind w:left="5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7.2.4.</w:t>
        <w:tab/>
      </w:r>
      <w:r w:rsidDel="00000000" w:rsidR="00000000" w:rsidRPr="00000000">
        <w:rPr>
          <w:rFonts w:ascii="Times New Roman" w:cs="Times New Roman" w:eastAsia="Times New Roman" w:hAnsi="Times New Roman"/>
          <w:u w:val="single"/>
          <w:rtl w:val="0"/>
        </w:rPr>
        <w:t xml:space="preserve">Registered Instructor Policy:</w:t>
      </w:r>
      <w:r w:rsidDel="00000000" w:rsidR="00000000" w:rsidRPr="00000000">
        <w:rPr>
          <w:rFonts w:ascii="Times New Roman" w:cs="Times New Roman" w:eastAsia="Times New Roman" w:hAnsi="Times New Roman"/>
          <w:rtl w:val="0"/>
        </w:rPr>
        <w:t xml:space="preserve"> Grade 2, Grade 3, Grade 4, Grade 5, and Juvenile bands may register, for the competition season, at most one (1) piping instructor and one (1) drumming instructor who are also registered with another, higher-graded band. An instructor is defined as an individual from a higher-graded band who provides piping/drumming instruction on an ongoing basis to the lower-graded band in which the instructor is registered, i.e., an instructor is a registered member who regularly attends that band’s practices and provides instruction at those practices. The instructor(s) shall not be permitted to make up the minimum number of pipers or drummers required for competition. Instructors for Grade 2 bands may not act as the Pipe Major or lead drummer. A higher-grade band may have more than one piper or drummer who serves as instructors of Grade 2, 3, 4, 5, and Juvenile bands, provided, however, that no individual may serve as a playing member for multiple bands in the same grade. Instructor(s) must be clearly identified on each band’s roster.</w:t>
      </w:r>
    </w:p>
    <w:p w:rsidR="00000000" w:rsidDel="00000000" w:rsidP="00000000" w:rsidRDefault="00000000" w:rsidRPr="00000000" w14:paraId="0000001D">
      <w:pPr>
        <w:ind w:left="162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E">
      <w:pPr>
        <w:ind w:left="1620" w:hanging="54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tab/>
        <w:t xml:space="preserve">Except to the extent it implicates Rule 9.2.2 for multi-grade band organizations, utilization of this rule does not affect the draw for the order of play.</w:t>
      </w:r>
    </w:p>
    <w:p w:rsidR="00000000" w:rsidDel="00000000" w:rsidP="00000000" w:rsidRDefault="00000000" w:rsidRPr="00000000" w14:paraId="0000001F">
      <w:pPr>
        <w:ind w:left="1620" w:hanging="54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0">
      <w:p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7.2.5.</w:t>
        <w:tab/>
      </w:r>
      <w:r w:rsidDel="00000000" w:rsidR="00000000" w:rsidRPr="00000000">
        <w:rPr>
          <w:rFonts w:ascii="Times New Roman" w:cs="Times New Roman" w:eastAsia="Times New Roman" w:hAnsi="Times New Roman"/>
          <w:u w:val="single"/>
          <w:rtl w:val="0"/>
        </w:rPr>
        <w:t xml:space="preserve">Dual Musicians:</w:t>
      </w:r>
      <w:r w:rsidDel="00000000" w:rsidR="00000000" w:rsidRPr="00000000">
        <w:rPr>
          <w:rFonts w:ascii="Times New Roman" w:cs="Times New Roman" w:eastAsia="Times New Roman" w:hAnsi="Times New Roman"/>
          <w:rtl w:val="0"/>
        </w:rPr>
        <w:t xml:space="preserve"> A musician may play one instrument (pipes, snare drum, tenor drum, bass drum) with one band, and a different instrument with another band of a different grade, provided the musician is appropriately registered with each band for the respective instrument. This must be verified with the band registrar at the time of registration.</w:t>
      </w:r>
    </w:p>
    <w:p w:rsidR="00000000" w:rsidDel="00000000" w:rsidP="00000000" w:rsidRDefault="00000000" w:rsidRPr="00000000" w14:paraId="00000021">
      <w:pPr>
        <w:ind w:left="1620" w:hanging="54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22">
      <w:p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 </w:t>
        <w:tab/>
        <w:t xml:space="preserve">Except to the extent it implicates Rule 9.2.2 for multi-grade band organizations, utilization of this rule does not affect the draw for the order of play.</w:t>
      </w:r>
      <w:r w:rsidDel="00000000" w:rsidR="00000000" w:rsidRPr="00000000">
        <w:rPr>
          <w:rtl w:val="0"/>
        </w:rPr>
      </w:r>
    </w:p>
    <w:p w:rsidR="00000000" w:rsidDel="00000000" w:rsidP="00000000" w:rsidRDefault="00000000" w:rsidRPr="00000000" w14:paraId="00000023">
      <w:pPr>
        <w:ind w:left="1620" w:hanging="54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4">
      <w:p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7.2.4.</w:t>
        <w:tab/>
      </w:r>
      <w:r w:rsidDel="00000000" w:rsidR="00000000" w:rsidRPr="00000000">
        <w:rPr>
          <w:rFonts w:ascii="Times New Roman" w:cs="Times New Roman" w:eastAsia="Times New Roman" w:hAnsi="Times New Roman"/>
          <w:u w:val="single"/>
          <w:rtl w:val="0"/>
        </w:rPr>
        <w:t xml:space="preserve">Juvenile Bands:</w:t>
      </w:r>
      <w:r w:rsidDel="00000000" w:rsidR="00000000" w:rsidRPr="00000000">
        <w:rPr>
          <w:rFonts w:ascii="Times New Roman" w:cs="Times New Roman" w:eastAsia="Times New Roman" w:hAnsi="Times New Roman"/>
          <w:rtl w:val="0"/>
        </w:rPr>
        <w:t xml:space="preserve"> Members of Juvenile bands who are 18 years of age and younger may be registered with and compete with a higher graded band as well as their own Juvenile band.</w:t>
      </w:r>
    </w:p>
    <w:p w:rsidR="00000000" w:rsidDel="00000000" w:rsidP="00000000" w:rsidRDefault="00000000" w:rsidRPr="00000000" w14:paraId="00000025">
      <w:pPr>
        <w:ind w:left="540" w:hanging="36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026">
      <w:pPr>
        <w:ind w:left="1620" w:hanging="540"/>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 </w:t>
        <w:tab/>
        <w:t xml:space="preserve">Except to the extent it implicates Rule 9.2.2 for multi-grade band organizations, utilization of this rule does not affect the draw for the order of play.</w:t>
      </w:r>
      <w:r w:rsidDel="00000000" w:rsidR="00000000" w:rsidRPr="00000000">
        <w:rPr>
          <w:rtl w:val="0"/>
        </w:rPr>
      </w:r>
    </w:p>
    <w:p w:rsidR="00000000" w:rsidDel="00000000" w:rsidP="00000000" w:rsidRDefault="00000000" w:rsidRPr="00000000" w14:paraId="00000027">
      <w:p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ind w:left="54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tabs>
          <w:tab w:val="left" w:leader="none" w:pos="3613"/>
        </w:tabs>
        <w:rPr>
          <w:rFonts w:ascii="Times New Roman" w:cs="Times New Roman" w:eastAsia="Times New Roman" w:hAnsi="Times New Roman"/>
          <w:u w:val="single"/>
        </w:rPr>
      </w:pPr>
      <w:bookmarkStart w:colFirst="0" w:colLast="0" w:name="_heading=h.1wxgzhegnbyg" w:id="0"/>
      <w:bookmarkEnd w:id="0"/>
      <w:r w:rsidDel="00000000" w:rsidR="00000000" w:rsidRPr="00000000">
        <w:rPr>
          <w:rtl w:val="0"/>
        </w:rPr>
      </w:r>
    </w:p>
    <w:p w:rsidR="00000000" w:rsidDel="00000000" w:rsidP="00000000" w:rsidRDefault="00000000" w:rsidRPr="00000000" w14:paraId="0000002A">
      <w:pPr>
        <w:tabs>
          <w:tab w:val="left" w:leader="none" w:pos="3613"/>
        </w:tabs>
        <w:rPr>
          <w:rFonts w:ascii="Times New Roman" w:cs="Times New Roman" w:eastAsia="Times New Roman" w:hAnsi="Times New Roman"/>
          <w:u w:val="single"/>
        </w:rPr>
      </w:pPr>
      <w:bookmarkStart w:colFirst="0" w:colLast="0" w:name="_heading=h.gjdgxs" w:id="1"/>
      <w:bookmarkEnd w:id="1"/>
      <w:r w:rsidDel="00000000" w:rsidR="00000000" w:rsidRPr="00000000">
        <w:rPr>
          <w:rFonts w:ascii="Times New Roman" w:cs="Times New Roman" w:eastAsia="Times New Roman" w:hAnsi="Times New Roman"/>
          <w:u w:val="single"/>
          <w:rtl w:val="0"/>
        </w:rPr>
        <w:t xml:space="preserve">Rationale</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for clarification only–it is not a substantive change to the existing rules.</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one of these rules (dual musicians) previously contained language to this effect, but it was thought superfluous and removed when the rule was undergoing some other changes. However, it has become clear that not all bands and/or individual players taking advantage of these rules to play in multiple bands are clear on this.</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WUSPBA Contest Rules provide certain avenues for some players to register and play with multiple bands, the draw for the order of play is </w:t>
      </w:r>
      <w:r w:rsidDel="00000000" w:rsidR="00000000" w:rsidRPr="00000000">
        <w:rPr>
          <w:rFonts w:ascii="Times New Roman" w:cs="Times New Roman" w:eastAsia="Times New Roman" w:hAnsi="Times New Roman"/>
          <w:u w:val="single"/>
          <w:rtl w:val="0"/>
        </w:rPr>
        <w:t xml:space="preserve">random</w:t>
      </w:r>
      <w:r w:rsidDel="00000000" w:rsidR="00000000" w:rsidRPr="00000000">
        <w:rPr>
          <w:rFonts w:ascii="Times New Roman" w:cs="Times New Roman" w:eastAsia="Times New Roman" w:hAnsi="Times New Roman"/>
          <w:rtl w:val="0"/>
        </w:rPr>
        <w:t xml:space="preserve">. We have one narrow provision which prevents two bands from within the same organization from being scheduled to play in two different locations at literally the same time, or immediately back-to-back (when presumably there would not be any time for players, tuners, etc. to get from one location to the other). Aside from that, the rules do not provide any preference or special consideration for players playing in multiple bands when it comes to the draw, as this would quickly become unmanageable for Contest Organizers and undermine the randomness of the draw. It is the responsibility of the individuals who are playing in multiple bands–and the bands who may be relying on their ability to do so–to plan accordingly and be prepared to play at whatever times are drawn for each of their bands. And for those playing in two unrelated band organizations, to be prepared to prioritize in the event the draw will not allow them to play in both of their bands on a given day. Hopefully adding some additional language to these special rules will clarify this.</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change will not affect Rule 9.2.4, which provides a procedure for making changes to the order of play after the draw. However, any change made under that rule remains subject to the approval of both the Contest Organizer and the WUSPBA Contest Steward, and bands should not rely upon it or expect that they will be able to change the posted order of play.</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tabs>
        <w:tab w:val="center" w:leader="none" w:pos="4320"/>
        <w:tab w:val="right" w:leader="none" w:pos="8640"/>
      </w:tabs>
      <w:jc w:val="center"/>
      <w:rPr>
        <w:rFonts w:ascii="Times New Roman" w:cs="Times New Roman" w:eastAsia="Times New Roman" w:hAnsi="Times New Roman"/>
        <w:b w:val="1"/>
      </w:rPr>
    </w:pPr>
    <w:sdt>
      <w:sdtPr>
        <w:tag w:val="goog_rdk_0"/>
      </w:sdtPr>
      <w:sdtContent>
        <w:r w:rsidDel="00000000" w:rsidR="00000000" w:rsidRPr="00000000">
          <w:rPr>
            <w:rFonts w:ascii="Nova Mono" w:cs="Nova Mono" w:eastAsia="Nova Mono" w:hAnsi="Nova Mono"/>
            <w:b w:val="1"/>
            <w:rtl w:val="0"/>
          </w:rPr>
          <w:t xml:space="preserve">WUSPBA ⬥ 531 East Edgehill Drive ⬥ Bountiful, UT 84010 ⬥ www.wuspba.org</w:t>
        </w:r>
      </w:sdtContent>
    </w:sdt>
  </w:p>
  <w:p w:rsidR="00000000" w:rsidDel="00000000" w:rsidP="00000000" w:rsidRDefault="00000000" w:rsidRPr="00000000" w14:paraId="0000003F">
    <w:pPr>
      <w:tabs>
        <w:tab w:val="center" w:leader="none" w:pos="4320"/>
        <w:tab w:val="right" w:leader="none" w:pos="8640"/>
      </w:tabs>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spacing w:line="276" w:lineRule="auto"/>
      <w:ind w:left="720" w:hanging="360"/>
      <w:rPr>
        <w:rFonts w:ascii="Times New Roman" w:cs="Times New Roman" w:eastAsia="Times New Roman" w:hAnsi="Times New Roman"/>
        <w:sz w:val="2"/>
        <w:szCs w:val="2"/>
      </w:rPr>
    </w:pPr>
    <w:r w:rsidDel="00000000" w:rsidR="00000000" w:rsidRPr="00000000">
      <w:rPr>
        <w:rtl w:val="0"/>
      </w:rPr>
    </w:r>
  </w:p>
  <w:tbl>
    <w:tblPr>
      <w:tblStyle w:val="Table1"/>
      <w:tblW w:w="1038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595"/>
      <w:tblGridChange w:id="0">
        <w:tblGrid>
          <w:gridCol w:w="1785"/>
          <w:gridCol w:w="85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tabs>
              <w:tab w:val="center" w:leader="none" w:pos="4320"/>
              <w:tab w:val="right" w:leader="none" w:pos="9360"/>
            </w:tabs>
            <w:ind w:left="-360" w:right="-720" w:hanging="360"/>
            <w:jc w:val="center"/>
            <w:rPr>
              <w:rFonts w:ascii="Times New Roman" w:cs="Times New Roman" w:eastAsia="Times New Roman" w:hAnsi="Times New Roman"/>
            </w:rPr>
          </w:pPr>
          <w:r w:rsidDel="00000000" w:rsidR="00000000" w:rsidRPr="00000000">
            <w:rPr>
              <w:rFonts w:ascii="Arial" w:cs="Arial" w:eastAsia="Arial" w:hAnsi="Arial"/>
              <w:b w:val="1"/>
              <w:sz w:val="44"/>
              <w:szCs w:val="44"/>
            </w:rPr>
            <w:drawing>
              <wp:inline distB="0" distT="0" distL="114300" distR="114300">
                <wp:extent cx="1104900" cy="1104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ind w:left="720" w:right="-120" w:hanging="36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37">
          <w:pPr>
            <w:widowControl w:val="0"/>
            <w:ind w:left="720" w:right="-120" w:hanging="36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38">
          <w:pPr>
            <w:pStyle w:val="Heading1"/>
            <w:widowControl w:val="0"/>
            <w:spacing w:after="0" w:before="0" w:lineRule="auto"/>
            <w:ind w:left="360" w:right="-120" w:firstLine="0"/>
            <w:jc w:val="center"/>
            <w:rPr>
              <w:rFonts w:ascii="Times New Roman" w:cs="Times New Roman" w:eastAsia="Times New Roman" w:hAnsi="Times New Roman"/>
              <w:sz w:val="42"/>
              <w:szCs w:val="42"/>
            </w:rPr>
          </w:pPr>
          <w:bookmarkStart w:colFirst="0" w:colLast="0" w:name="_heading=h.mdtgqvcindie" w:id="2"/>
          <w:bookmarkEnd w:id="2"/>
          <w:r w:rsidDel="00000000" w:rsidR="00000000" w:rsidRPr="00000000">
            <w:rPr>
              <w:rFonts w:ascii="Times New Roman" w:cs="Times New Roman" w:eastAsia="Times New Roman" w:hAnsi="Times New Roman"/>
              <w:sz w:val="42"/>
              <w:szCs w:val="42"/>
              <w:rtl w:val="0"/>
            </w:rPr>
            <w:t xml:space="preserve">Western United States Pipe Band Association 2024 AGM Contest Rules Proposals</w:t>
          </w:r>
        </w:p>
      </w:tc>
    </w:tr>
  </w:tbl>
  <w:p w:rsidR="00000000" w:rsidDel="00000000" w:rsidP="00000000" w:rsidRDefault="00000000" w:rsidRPr="00000000" w14:paraId="00000039">
    <w:pPr>
      <w:spacing w:line="276" w:lineRule="auto"/>
      <w:ind w:left="720" w:hanging="36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320"/>
        <w:tab w:val="right" w:leader="none" w:pos="8640"/>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4D630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1190D"/>
    <w:pPr>
      <w:tabs>
        <w:tab w:val="center" w:pos="4320"/>
        <w:tab w:val="right" w:pos="8640"/>
      </w:tabs>
    </w:pPr>
  </w:style>
  <w:style w:type="character" w:styleId="HeaderChar" w:customStyle="1">
    <w:name w:val="Header Char"/>
    <w:basedOn w:val="DefaultParagraphFont"/>
    <w:link w:val="Header"/>
    <w:uiPriority w:val="99"/>
    <w:rsid w:val="0021190D"/>
  </w:style>
  <w:style w:type="paragraph" w:styleId="Footer">
    <w:name w:val="footer"/>
    <w:basedOn w:val="Normal"/>
    <w:link w:val="FooterChar"/>
    <w:uiPriority w:val="99"/>
    <w:unhideWhenUsed w:val="1"/>
    <w:rsid w:val="0021190D"/>
    <w:pPr>
      <w:tabs>
        <w:tab w:val="center" w:pos="4320"/>
        <w:tab w:val="right" w:pos="8640"/>
      </w:tabs>
    </w:pPr>
  </w:style>
  <w:style w:type="character" w:styleId="FooterChar" w:customStyle="1">
    <w:name w:val="Footer Char"/>
    <w:basedOn w:val="DefaultParagraphFont"/>
    <w:link w:val="Footer"/>
    <w:uiPriority w:val="99"/>
    <w:rsid w:val="0021190D"/>
  </w:style>
  <w:style w:type="character" w:styleId="PageNumber">
    <w:name w:val="page number"/>
    <w:basedOn w:val="DefaultParagraphFont"/>
    <w:uiPriority w:val="99"/>
    <w:semiHidden w:val="1"/>
    <w:unhideWhenUsed w:val="1"/>
    <w:rsid w:val="004140B7"/>
  </w:style>
  <w:style w:type="paragraph" w:styleId="BalloonText">
    <w:name w:val="Balloon Text"/>
    <w:basedOn w:val="Normal"/>
    <w:link w:val="BalloonTextChar"/>
    <w:uiPriority w:val="99"/>
    <w:semiHidden w:val="1"/>
    <w:unhideWhenUsed w:val="1"/>
    <w:rsid w:val="00A97CC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A97CC6"/>
    <w:rPr>
      <w:rFonts w:ascii="Lucida Grande" w:cs="Lucida Grande" w:hAnsi="Lucida Grande"/>
      <w:sz w:val="18"/>
      <w:szCs w:val="18"/>
    </w:rPr>
  </w:style>
  <w:style w:type="paragraph" w:styleId="ListParagraph">
    <w:name w:val="List Paragraph"/>
    <w:basedOn w:val="Normal"/>
    <w:uiPriority w:val="34"/>
    <w:qFormat w:val="1"/>
    <w:rsid w:val="00EC6876"/>
    <w:pPr>
      <w:ind w:left="720"/>
      <w:contextualSpacing w:val="1"/>
    </w:pPr>
  </w:style>
  <w:style w:type="paragraph" w:styleId="FootnoteText">
    <w:name w:val="footnote text"/>
    <w:basedOn w:val="Normal"/>
    <w:link w:val="FootnoteTextChar"/>
    <w:uiPriority w:val="99"/>
    <w:unhideWhenUsed w:val="1"/>
    <w:rsid w:val="00E42346"/>
  </w:style>
  <w:style w:type="character" w:styleId="FootnoteTextChar" w:customStyle="1">
    <w:name w:val="Footnote Text Char"/>
    <w:basedOn w:val="DefaultParagraphFont"/>
    <w:link w:val="FootnoteText"/>
    <w:uiPriority w:val="99"/>
    <w:rsid w:val="00E42346"/>
  </w:style>
  <w:style w:type="character" w:styleId="FootnoteReference">
    <w:name w:val="footnote reference"/>
    <w:basedOn w:val="DefaultParagraphFont"/>
    <w:uiPriority w:val="99"/>
    <w:unhideWhenUsed w:val="1"/>
    <w:rsid w:val="00E42346"/>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SRVY/HPSRnplxtKmfNuZjqClA==">CgMxLjAaJwoBMBIiCiAIB0IcCg9UaW1lcyBOZXcgUm9tYW4SCU5vdmEgTW9ubzIOaC4xd3hnemhlZ25ieWcyCGguZ2pkZ3hzMg5oLm1kdGdxdmNpbmRpZTgAciExcTRlTVBZWFRLb29oZXB6VEcyTFh4eXVlaTgxZFlyeFA=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2016-09-06T22:19:00Z</dcterms:created>
  <dc:creator>Suzan Karayel</dc:creator>
</cp:coreProperties>
</file>