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Band Aggregate Prizes – Submitted by Office of Strategic Planning for Games Organizers (OSPGO)</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Existing Text (Contest Rules)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6">
      <w:pPr>
        <w:ind w:left="5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 II. Pipe Band Contest Rules</w:t>
      </w:r>
    </w:p>
    <w:p w:rsidR="00000000" w:rsidDel="00000000" w:rsidP="00000000" w:rsidRDefault="00000000" w:rsidRPr="00000000" w14:paraId="00000007">
      <w:p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8">
      <w:pPr>
        <w:ind w:left="540"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ind w:left="5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tab/>
        <w:t xml:space="preserve">Contest Results</w:t>
      </w:r>
    </w:p>
    <w:p w:rsidR="00000000" w:rsidDel="00000000" w:rsidP="00000000" w:rsidRDefault="00000000" w:rsidRPr="00000000" w14:paraId="0000000A">
      <w:p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t>
      </w:r>
    </w:p>
    <w:p w:rsidR="00000000" w:rsidDel="00000000" w:rsidP="00000000" w:rsidRDefault="00000000" w:rsidRPr="00000000" w14:paraId="0000000B">
      <w:pPr>
        <w:ind w:left="5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left="108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10.4.</w:t>
        <w:tab/>
      </w:r>
      <w:r w:rsidDel="00000000" w:rsidR="00000000" w:rsidRPr="00000000">
        <w:rPr>
          <w:rFonts w:ascii="Times New Roman" w:cs="Times New Roman" w:eastAsia="Times New Roman" w:hAnsi="Times New Roman"/>
          <w:u w:val="single"/>
          <w:rtl w:val="0"/>
        </w:rPr>
        <w:t xml:space="preserve">Aggregate Prizes:</w:t>
      </w:r>
      <w:r w:rsidDel="00000000" w:rsidR="00000000" w:rsidRPr="00000000">
        <w:rPr>
          <w:rFonts w:ascii="Times New Roman" w:cs="Times New Roman" w:eastAsia="Times New Roman" w:hAnsi="Times New Roman"/>
          <w:rtl w:val="0"/>
        </w:rPr>
        <w:t xml:space="preserve"> Contest sponsors holding more than one sanctioned contest within a single grade may elect to award an aggregate prize for the best overall band within a single grade. This is determined by adding the total points awarded to each band for both contests. The lowest combined total is the aggregate winner for that grade. In the event that more than one band has an identical combined total, the ties will be broken by adding the order of finish in the MSR contest for Grades 1, 2, and 3, and ties will be determined by the order of finish in the Timed Medley contest for Grade 4 and Juvenile-only contests. In Grade V contests, ties will be broken by the order of finish in the Quick March Medley.</w:t>
      </w:r>
    </w:p>
    <w:p w:rsidR="00000000" w:rsidDel="00000000" w:rsidP="00000000" w:rsidRDefault="00000000" w:rsidRPr="00000000" w14:paraId="0000000D">
      <w:pPr>
        <w:ind w:left="108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ind w:left="108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Proposed Text (Contest Rules)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ind w:left="5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 II. Pipe Band Contest Rules</w:t>
      </w:r>
    </w:p>
    <w:p w:rsidR="00000000" w:rsidDel="00000000" w:rsidP="00000000" w:rsidRDefault="00000000" w:rsidRPr="00000000" w14:paraId="00000013">
      <w:p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4">
      <w:pPr>
        <w:ind w:left="540"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ind w:left="5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tab/>
        <w:t xml:space="preserve">Contest Results</w:t>
      </w:r>
    </w:p>
    <w:p w:rsidR="00000000" w:rsidDel="00000000" w:rsidP="00000000" w:rsidRDefault="00000000" w:rsidRPr="00000000" w14:paraId="00000016">
      <w:p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t>
      </w:r>
    </w:p>
    <w:p w:rsidR="00000000" w:rsidDel="00000000" w:rsidP="00000000" w:rsidRDefault="00000000" w:rsidRPr="00000000" w14:paraId="00000017">
      <w:pPr>
        <w:ind w:left="5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ind w:left="108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10.4.</w:t>
        <w:tab/>
      </w:r>
      <w:r w:rsidDel="00000000" w:rsidR="00000000" w:rsidRPr="00000000">
        <w:rPr>
          <w:rFonts w:ascii="Times New Roman" w:cs="Times New Roman" w:eastAsia="Times New Roman" w:hAnsi="Times New Roman"/>
          <w:u w:val="single"/>
          <w:rtl w:val="0"/>
        </w:rPr>
        <w:t xml:space="preserve">Aggregate Prizes:</w:t>
      </w:r>
      <w:r w:rsidDel="00000000" w:rsidR="00000000" w:rsidRPr="00000000">
        <w:rPr>
          <w:rFonts w:ascii="Times New Roman" w:cs="Times New Roman" w:eastAsia="Times New Roman" w:hAnsi="Times New Roman"/>
          <w:rtl w:val="0"/>
        </w:rPr>
        <w:t xml:space="preserve"> Contest sponsors holding more than one sanctioned contest within a single grade may elect to award an aggregate prize for the best overall band within a single grade. This is determined by adding the total points awarded to each band for both contests. The lowest combined total is the aggregate winner for that grade. In the event that more than one band has an identical combined total, the ties will be broken by adding the order of finish in the MSR contest for Grades 1, 2,</w:t>
      </w:r>
      <w:r w:rsidDel="00000000" w:rsidR="00000000" w:rsidRPr="00000000">
        <w:rPr>
          <w:rFonts w:ascii="Times New Roman" w:cs="Times New Roman" w:eastAsia="Times New Roman" w:hAnsi="Times New Roman"/>
          <w:strike w:val="1"/>
          <w:rtl w:val="0"/>
        </w:rPr>
        <w:t xml:space="preserve"> and</w:t>
      </w:r>
      <w:r w:rsidDel="00000000" w:rsidR="00000000" w:rsidRPr="00000000">
        <w:rPr>
          <w:rFonts w:ascii="Times New Roman" w:cs="Times New Roman" w:eastAsia="Times New Roman" w:hAnsi="Times New Roman"/>
          <w:rtl w:val="0"/>
        </w:rPr>
        <w:t xml:space="preserve"> 3</w:t>
      </w:r>
      <w:r w:rsidDel="00000000" w:rsidR="00000000" w:rsidRPr="00000000">
        <w:rPr>
          <w:rFonts w:ascii="Times New Roman" w:cs="Times New Roman" w:eastAsia="Times New Roman" w:hAnsi="Times New Roman"/>
          <w:color w:val="ff0000"/>
          <w:rtl w:val="0"/>
        </w:rPr>
        <w:t xml:space="preserve">, and 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trike w:val="1"/>
          <w:rtl w:val="0"/>
        </w:rPr>
        <w:t xml:space="preserve">and ties will be determined by the order of finish in the Timed Medley contest for Grade 4 and Juvenile-only contests.</w:t>
      </w:r>
      <w:r w:rsidDel="00000000" w:rsidR="00000000" w:rsidRPr="00000000">
        <w:rPr>
          <w:rFonts w:ascii="Times New Roman" w:cs="Times New Roman" w:eastAsia="Times New Roman" w:hAnsi="Times New Roman"/>
          <w:rtl w:val="0"/>
        </w:rPr>
        <w:t xml:space="preserve"> In Grade</w:t>
      </w:r>
      <w:r w:rsidDel="00000000" w:rsidR="00000000" w:rsidRPr="00000000">
        <w:rPr>
          <w:rFonts w:ascii="Times New Roman" w:cs="Times New Roman" w:eastAsia="Times New Roman" w:hAnsi="Times New Roman"/>
          <w:color w:val="ff0000"/>
          <w:rtl w:val="0"/>
        </w:rPr>
        <w:t xml:space="preserve"> 5</w:t>
      </w:r>
      <w:r w:rsidDel="00000000" w:rsidR="00000000" w:rsidRPr="00000000">
        <w:rPr>
          <w:rFonts w:ascii="Times New Roman" w:cs="Times New Roman" w:eastAsia="Times New Roman" w:hAnsi="Times New Roman"/>
          <w:strike w:val="1"/>
          <w:rtl w:val="0"/>
        </w:rPr>
        <w:t xml:space="preserve"> V</w:t>
      </w:r>
      <w:r w:rsidDel="00000000" w:rsidR="00000000" w:rsidRPr="00000000">
        <w:rPr>
          <w:rFonts w:ascii="Times New Roman" w:cs="Times New Roman" w:eastAsia="Times New Roman" w:hAnsi="Times New Roman"/>
          <w:rtl w:val="0"/>
        </w:rPr>
        <w:t xml:space="preserve"> contests, ties will be broken by the order of finish in the Quick March Medley.</w:t>
      </w:r>
    </w:p>
    <w:p w:rsidR="00000000" w:rsidDel="00000000" w:rsidP="00000000" w:rsidRDefault="00000000" w:rsidRPr="00000000" w14:paraId="00000019">
      <w:pPr>
        <w:ind w:left="540"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ind w:left="540"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tabs>
          <w:tab w:val="left" w:leader="none" w:pos="3613"/>
        </w:tabs>
        <w:rPr>
          <w:rFonts w:ascii="Times New Roman" w:cs="Times New Roman" w:eastAsia="Times New Roman" w:hAnsi="Times New Roman"/>
          <w:u w:val="single"/>
        </w:rPr>
      </w:pPr>
      <w:bookmarkStart w:colFirst="0" w:colLast="0" w:name="_heading=h.1wxgzhegnbyg" w:id="0"/>
      <w:bookmarkEnd w:id="0"/>
      <w:r w:rsidDel="00000000" w:rsidR="00000000" w:rsidRPr="00000000">
        <w:rPr>
          <w:rtl w:val="0"/>
        </w:rPr>
      </w:r>
    </w:p>
    <w:p w:rsidR="00000000" w:rsidDel="00000000" w:rsidP="00000000" w:rsidRDefault="00000000" w:rsidRPr="00000000" w14:paraId="0000001C">
      <w:pPr>
        <w:tabs>
          <w:tab w:val="left" w:leader="none" w:pos="3613"/>
        </w:tabs>
        <w:rPr>
          <w:rFonts w:ascii="Times New Roman" w:cs="Times New Roman" w:eastAsia="Times New Roman" w:hAnsi="Times New Roman"/>
          <w:u w:val="single"/>
        </w:rPr>
      </w:pPr>
      <w:bookmarkStart w:colFirst="0" w:colLast="0" w:name="_heading=h.gjdgxs" w:id="1"/>
      <w:bookmarkEnd w:id="1"/>
      <w:r w:rsidDel="00000000" w:rsidR="00000000" w:rsidRPr="00000000">
        <w:rPr>
          <w:rFonts w:ascii="Times New Roman" w:cs="Times New Roman" w:eastAsia="Times New Roman" w:hAnsi="Times New Roman"/>
          <w:u w:val="single"/>
          <w:rtl w:val="0"/>
        </w:rPr>
        <w:t xml:space="preserve">Rationale</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appears to be an artifact of the years when Grade 4 bands did not play MSRs. Since Grade 4 bands now play an MSR and a Time Limit Medley–just like Grade 1, 2, and 3 bands–ties in Grade 4 should be broken in the same way as they are in the other grades.</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change would also strike the reference to tie breakers in Juvenile-only contests. As WUSPBA does not have set requirements or any other rules for Juvenile-only contests, it does not make sense to designate a tie-breaker for Juvenile-only contests. This reference only serves to cause confusion, as Juvenile bands play in their numerical grade.</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Arial"/>
  <w:font w:name="Nova Mon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tabs>
        <w:tab w:val="center" w:leader="none" w:pos="4320"/>
        <w:tab w:val="right" w:leader="none" w:pos="8640"/>
      </w:tabs>
      <w:jc w:val="center"/>
      <w:rPr>
        <w:rFonts w:ascii="Times New Roman" w:cs="Times New Roman" w:eastAsia="Times New Roman" w:hAnsi="Times New Roman"/>
        <w:b w:val="1"/>
      </w:rPr>
    </w:pPr>
    <w:sdt>
      <w:sdtPr>
        <w:tag w:val="goog_rdk_0"/>
      </w:sdtPr>
      <w:sdtContent>
        <w:r w:rsidDel="00000000" w:rsidR="00000000" w:rsidRPr="00000000">
          <w:rPr>
            <w:rFonts w:ascii="Nova Mono" w:cs="Nova Mono" w:eastAsia="Nova Mono" w:hAnsi="Nova Mono"/>
            <w:b w:val="1"/>
            <w:rtl w:val="0"/>
          </w:rPr>
          <w:t xml:space="preserve">WUSPBA ⬥ 531 East Edgehill Drive ⬥ Bountiful, UT 84010 ⬥ www.wuspba.org</w:t>
        </w:r>
      </w:sdtContent>
    </w:sdt>
  </w:p>
  <w:p w:rsidR="00000000" w:rsidDel="00000000" w:rsidP="00000000" w:rsidRDefault="00000000" w:rsidRPr="00000000" w14:paraId="0000002E">
    <w:pPr>
      <w:tabs>
        <w:tab w:val="center" w:leader="none" w:pos="4320"/>
        <w:tab w:val="right" w:leader="none" w:pos="8640"/>
      </w:tabs>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spacing w:line="276" w:lineRule="auto"/>
      <w:ind w:left="720" w:hanging="360"/>
      <w:rPr>
        <w:rFonts w:ascii="Times New Roman" w:cs="Times New Roman" w:eastAsia="Times New Roman" w:hAnsi="Times New Roman"/>
        <w:sz w:val="2"/>
        <w:szCs w:val="2"/>
      </w:rPr>
    </w:pPr>
    <w:r w:rsidDel="00000000" w:rsidR="00000000" w:rsidRPr="00000000">
      <w:rPr>
        <w:rtl w:val="0"/>
      </w:rPr>
    </w:r>
  </w:p>
  <w:tbl>
    <w:tblPr>
      <w:tblStyle w:val="Table1"/>
      <w:tblW w:w="10380.0" w:type="dxa"/>
      <w:jc w:val="left"/>
      <w:tblInd w:w="-10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8595"/>
      <w:tblGridChange w:id="0">
        <w:tblGrid>
          <w:gridCol w:w="1785"/>
          <w:gridCol w:w="859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tabs>
              <w:tab w:val="center" w:leader="none" w:pos="4320"/>
              <w:tab w:val="right" w:leader="none" w:pos="9360"/>
            </w:tabs>
            <w:ind w:left="-360" w:right="-720" w:hanging="360"/>
            <w:jc w:val="center"/>
            <w:rPr>
              <w:rFonts w:ascii="Times New Roman" w:cs="Times New Roman" w:eastAsia="Times New Roman" w:hAnsi="Times New Roman"/>
            </w:rPr>
          </w:pPr>
          <w:r w:rsidDel="00000000" w:rsidR="00000000" w:rsidRPr="00000000">
            <w:rPr>
              <w:rFonts w:ascii="Arial" w:cs="Arial" w:eastAsia="Arial" w:hAnsi="Arial"/>
              <w:b w:val="1"/>
              <w:sz w:val="44"/>
              <w:szCs w:val="44"/>
            </w:rPr>
            <w:drawing>
              <wp:inline distB="0" distT="0" distL="114300" distR="114300">
                <wp:extent cx="1104900" cy="11049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04900" cy="11049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ind w:left="720" w:right="-120" w:hanging="360"/>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25">
          <w:pPr>
            <w:widowControl w:val="0"/>
            <w:ind w:left="720" w:right="-120" w:hanging="360"/>
            <w:jc w:val="center"/>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26">
          <w:pPr>
            <w:pStyle w:val="Heading1"/>
            <w:widowControl w:val="0"/>
            <w:spacing w:after="0" w:before="0" w:lineRule="auto"/>
            <w:ind w:left="360" w:right="-120" w:firstLine="0"/>
            <w:jc w:val="center"/>
            <w:rPr>
              <w:rFonts w:ascii="Times New Roman" w:cs="Times New Roman" w:eastAsia="Times New Roman" w:hAnsi="Times New Roman"/>
              <w:sz w:val="42"/>
              <w:szCs w:val="42"/>
            </w:rPr>
          </w:pPr>
          <w:bookmarkStart w:colFirst="0" w:colLast="0" w:name="_heading=h.mdtgqvcindie" w:id="2"/>
          <w:bookmarkEnd w:id="2"/>
          <w:r w:rsidDel="00000000" w:rsidR="00000000" w:rsidRPr="00000000">
            <w:rPr>
              <w:rFonts w:ascii="Times New Roman" w:cs="Times New Roman" w:eastAsia="Times New Roman" w:hAnsi="Times New Roman"/>
              <w:sz w:val="42"/>
              <w:szCs w:val="42"/>
              <w:rtl w:val="0"/>
            </w:rPr>
            <w:t xml:space="preserve">Western United States Pipe Band Association 2024 AGM Contest Rules Proposals</w:t>
          </w:r>
        </w:p>
      </w:tc>
    </w:tr>
  </w:tbl>
  <w:p w:rsidR="00000000" w:rsidDel="00000000" w:rsidP="00000000" w:rsidRDefault="00000000" w:rsidRPr="00000000" w14:paraId="00000027">
    <w:pPr>
      <w:spacing w:line="276" w:lineRule="auto"/>
      <w:ind w:left="720" w:hanging="360"/>
      <w:rPr>
        <w:rFonts w:ascii="Times New Roman" w:cs="Times New Roman" w:eastAsia="Times New Roman" w:hAnsi="Times New Roman"/>
        <w:b w:val="1"/>
        <w:sz w:val="2"/>
        <w:szCs w:val="2"/>
      </w:rPr>
    </w:pPr>
    <w:r w:rsidDel="00000000" w:rsidR="00000000" w:rsidRPr="00000000">
      <w:rPr>
        <w:rFonts w:ascii="Times New Roman" w:cs="Times New Roman" w:eastAsia="Times New Roman" w:hAnsi="Times New Roman"/>
        <w:b w:val="1"/>
        <w:sz w:val="2"/>
        <w:szCs w:val="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320"/>
        <w:tab w:val="right" w:leader="none" w:pos="8640"/>
      </w:tabs>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4D630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1190D"/>
    <w:pPr>
      <w:tabs>
        <w:tab w:val="center" w:pos="4320"/>
        <w:tab w:val="right" w:pos="8640"/>
      </w:tabs>
    </w:pPr>
  </w:style>
  <w:style w:type="character" w:styleId="HeaderChar" w:customStyle="1">
    <w:name w:val="Header Char"/>
    <w:basedOn w:val="DefaultParagraphFont"/>
    <w:link w:val="Header"/>
    <w:uiPriority w:val="99"/>
    <w:rsid w:val="0021190D"/>
  </w:style>
  <w:style w:type="paragraph" w:styleId="Footer">
    <w:name w:val="footer"/>
    <w:basedOn w:val="Normal"/>
    <w:link w:val="FooterChar"/>
    <w:uiPriority w:val="99"/>
    <w:unhideWhenUsed w:val="1"/>
    <w:rsid w:val="0021190D"/>
    <w:pPr>
      <w:tabs>
        <w:tab w:val="center" w:pos="4320"/>
        <w:tab w:val="right" w:pos="8640"/>
      </w:tabs>
    </w:pPr>
  </w:style>
  <w:style w:type="character" w:styleId="FooterChar" w:customStyle="1">
    <w:name w:val="Footer Char"/>
    <w:basedOn w:val="DefaultParagraphFont"/>
    <w:link w:val="Footer"/>
    <w:uiPriority w:val="99"/>
    <w:rsid w:val="0021190D"/>
  </w:style>
  <w:style w:type="character" w:styleId="PageNumber">
    <w:name w:val="page number"/>
    <w:basedOn w:val="DefaultParagraphFont"/>
    <w:uiPriority w:val="99"/>
    <w:semiHidden w:val="1"/>
    <w:unhideWhenUsed w:val="1"/>
    <w:rsid w:val="004140B7"/>
  </w:style>
  <w:style w:type="paragraph" w:styleId="BalloonText">
    <w:name w:val="Balloon Text"/>
    <w:basedOn w:val="Normal"/>
    <w:link w:val="BalloonTextChar"/>
    <w:uiPriority w:val="99"/>
    <w:semiHidden w:val="1"/>
    <w:unhideWhenUsed w:val="1"/>
    <w:rsid w:val="00A97CC6"/>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A97CC6"/>
    <w:rPr>
      <w:rFonts w:ascii="Lucida Grande" w:cs="Lucida Grande" w:hAnsi="Lucida Grande"/>
      <w:sz w:val="18"/>
      <w:szCs w:val="18"/>
    </w:rPr>
  </w:style>
  <w:style w:type="paragraph" w:styleId="ListParagraph">
    <w:name w:val="List Paragraph"/>
    <w:basedOn w:val="Normal"/>
    <w:uiPriority w:val="34"/>
    <w:qFormat w:val="1"/>
    <w:rsid w:val="00EC6876"/>
    <w:pPr>
      <w:ind w:left="720"/>
      <w:contextualSpacing w:val="1"/>
    </w:pPr>
  </w:style>
  <w:style w:type="paragraph" w:styleId="FootnoteText">
    <w:name w:val="footnote text"/>
    <w:basedOn w:val="Normal"/>
    <w:link w:val="FootnoteTextChar"/>
    <w:uiPriority w:val="99"/>
    <w:unhideWhenUsed w:val="1"/>
    <w:rsid w:val="00E42346"/>
  </w:style>
  <w:style w:type="character" w:styleId="FootnoteTextChar" w:customStyle="1">
    <w:name w:val="Footnote Text Char"/>
    <w:basedOn w:val="DefaultParagraphFont"/>
    <w:link w:val="FootnoteText"/>
    <w:uiPriority w:val="99"/>
    <w:rsid w:val="00E42346"/>
  </w:style>
  <w:style w:type="character" w:styleId="FootnoteReference">
    <w:name w:val="footnote reference"/>
    <w:basedOn w:val="DefaultParagraphFont"/>
    <w:uiPriority w:val="99"/>
    <w:unhideWhenUsed w:val="1"/>
    <w:rsid w:val="00E42346"/>
    <w:rPr>
      <w:vertAlign w:val="superscript"/>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vaMono-regular.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xNr99K27QsrDTQ1I7ygzqay+6g==">CgMxLjAaJwoBMBIiCiAIB0IcCg9UaW1lcyBOZXcgUm9tYW4SCU5vdmEgTW9ubzIOaC4xd3hnemhlZ25ieWcyCGguZ2pkZ3hzMg5oLm1kdGdxdmNpbmRpZTgAciExdkRYbzE4NVMzb3BsUlZDZmFvbWJoWnBSZXFGVEF1UWk=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2016-09-06T22:19:00Z</dcterms:created>
  <dc:creator>Suzan Karayel</dc:creator>
</cp:coreProperties>
</file>